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hint="default" w:ascii="宋体" w:hAnsi="宋体" w:cs="宋体"/>
          <w:lang w:val="en-US"/>
        </w:rPr>
      </w:pPr>
      <w:r>
        <w:rPr>
          <w:rFonts w:hint="eastAsia" w:ascii="宋体" w:hAnsi="宋体" w:cs="宋体"/>
        </w:rPr>
        <w:t>股票代码：002871             股票简称:伟隆股份            公告编号：202</w:t>
      </w:r>
      <w:r>
        <w:rPr>
          <w:rFonts w:hint="default" w:ascii="宋体" w:hAnsi="宋体" w:cs="宋体"/>
          <w:lang w:val="en-US"/>
        </w:rPr>
        <w:t>4</w:t>
      </w:r>
      <w:r>
        <w:rPr>
          <w:rFonts w:hint="eastAsia" w:ascii="宋体" w:hAnsi="宋体" w:cs="宋体"/>
        </w:rPr>
        <w:t>-</w:t>
      </w:r>
      <w:r>
        <w:rPr>
          <w:rFonts w:hint="default" w:ascii="宋体" w:hAnsi="宋体" w:cs="宋体"/>
          <w:lang w:val="en-US"/>
        </w:rPr>
        <w:t>013</w:t>
      </w:r>
      <w:bookmarkStart w:id="0" w:name="_GoBack"/>
      <w:bookmarkEnd w:id="0"/>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青岛伟隆阀门股份有限公司</w:t>
      </w:r>
    </w:p>
    <w:p>
      <w:pPr>
        <w:spacing w:after="156" w:afterLines="50" w:line="480" w:lineRule="exact"/>
        <w:jc w:val="center"/>
        <w:rPr>
          <w:rFonts w:hint="eastAsia" w:ascii="宋体" w:hAnsi="宋体" w:cs="宋体"/>
          <w:b/>
          <w:bCs/>
          <w:sz w:val="28"/>
          <w:szCs w:val="28"/>
        </w:rPr>
      </w:pPr>
      <w:r>
        <w:rPr>
          <w:rFonts w:hint="eastAsia" w:ascii="宋体" w:hAnsi="宋体" w:cs="宋体"/>
          <w:b/>
          <w:bCs/>
          <w:sz w:val="28"/>
          <w:szCs w:val="28"/>
        </w:rPr>
        <w:t>关于回购股份比例</w:t>
      </w:r>
      <w:r>
        <w:rPr>
          <w:rFonts w:hint="eastAsia" w:ascii="宋体" w:hAnsi="宋体" w:cs="宋体"/>
          <w:b/>
          <w:bCs/>
          <w:sz w:val="28"/>
          <w:szCs w:val="28"/>
          <w:lang w:eastAsia="zh-CN"/>
        </w:rPr>
        <w:t>累计</w:t>
      </w:r>
      <w:r>
        <w:rPr>
          <w:rFonts w:hint="eastAsia" w:ascii="宋体" w:hAnsi="宋体" w:cs="宋体"/>
          <w:b/>
          <w:bCs/>
          <w:sz w:val="28"/>
          <w:szCs w:val="28"/>
        </w:rPr>
        <w:t>达到</w:t>
      </w:r>
      <w:r>
        <w:rPr>
          <w:rFonts w:hint="eastAsia" w:ascii="宋体" w:hAnsi="宋体" w:cs="宋体"/>
          <w:b/>
          <w:bCs/>
          <w:sz w:val="28"/>
          <w:szCs w:val="28"/>
          <w:lang w:val="en-US" w:eastAsia="zh-CN"/>
        </w:rPr>
        <w:t>2</w:t>
      </w:r>
      <w:r>
        <w:rPr>
          <w:rFonts w:hint="eastAsia" w:ascii="宋体" w:hAnsi="宋体" w:cs="宋体"/>
          <w:b/>
          <w:bCs/>
          <w:sz w:val="28"/>
          <w:szCs w:val="28"/>
        </w:rPr>
        <w:t>%</w:t>
      </w:r>
      <w:r>
        <w:rPr>
          <w:rFonts w:hint="default" w:ascii="宋体" w:hAnsi="宋体" w:cs="宋体"/>
          <w:b/>
          <w:bCs/>
          <w:sz w:val="28"/>
          <w:szCs w:val="28"/>
        </w:rPr>
        <w:t>暨回购进展的公</w:t>
      </w:r>
      <w:r>
        <w:rPr>
          <w:rFonts w:hint="eastAsia" w:ascii="宋体" w:hAnsi="宋体" w:cs="宋体"/>
          <w:b/>
          <w:bCs/>
          <w:sz w:val="28"/>
          <w:szCs w:val="28"/>
        </w:rPr>
        <w:t>告</w:t>
      </w:r>
    </w:p>
    <w:p>
      <w:pPr>
        <w:pStyle w:val="20"/>
        <w:spacing w:after="156" w:afterLines="50"/>
        <w:rPr>
          <w:rFonts w:hAnsi="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019" w:type="dxa"/>
          </w:tcPr>
          <w:p>
            <w:pPr>
              <w:pStyle w:val="20"/>
              <w:spacing w:after="156" w:afterLines="50"/>
              <w:ind w:left="-2" w:leftChars="-1" w:right="-218" w:rightChars="-104" w:firstLine="475" w:firstLineChars="198"/>
              <w:rPr>
                <w:rFonts w:hAnsi="宋体"/>
                <w:bCs/>
                <w:color w:val="auto"/>
              </w:rPr>
            </w:pPr>
            <w:r>
              <w:rPr>
                <w:rFonts w:hint="eastAsia" w:hAnsi="宋体"/>
                <w:bCs/>
                <w:color w:val="auto"/>
              </w:rPr>
              <w:t xml:space="preserve">本公司及董事会全体成员保证信息披露的内容真实、准确、完整，没有虚假记载、误导性陈述或重大遗漏。 </w:t>
            </w:r>
          </w:p>
        </w:tc>
      </w:tr>
    </w:tbl>
    <w:p>
      <w:pPr>
        <w:pStyle w:val="20"/>
        <w:spacing w:after="156" w:afterLines="50"/>
        <w:rPr>
          <w:rFonts w:hAnsi="宋体"/>
          <w:color w:val="auto"/>
          <w:sz w:val="21"/>
          <w:szCs w:val="21"/>
        </w:rPr>
      </w:pPr>
      <w:r>
        <w:rPr>
          <w:rFonts w:hint="eastAsia" w:hAnsi="宋体"/>
          <w:color w:val="auto"/>
          <w:sz w:val="21"/>
          <w:szCs w:val="21"/>
        </w:rPr>
        <w:t xml:space="preserve"> </w:t>
      </w:r>
    </w:p>
    <w:p>
      <w:pPr>
        <w:pStyle w:val="20"/>
        <w:spacing w:after="156" w:afterLines="50" w:line="360" w:lineRule="auto"/>
        <w:ind w:firstLine="463" w:firstLineChars="193"/>
        <w:jc w:val="both"/>
        <w:rPr>
          <w:rFonts w:hAnsi="宋体"/>
        </w:rPr>
      </w:pPr>
      <w:r>
        <w:rPr>
          <w:rFonts w:hint="eastAsia" w:hAnsi="宋体"/>
        </w:rPr>
        <w:t>青岛伟隆阀门股份有限公司（以下简称“公司”）</w:t>
      </w:r>
      <w:r>
        <w:rPr>
          <w:rFonts w:hAnsi="宋体"/>
        </w:rPr>
        <w:t>于</w:t>
      </w:r>
      <w:r>
        <w:rPr>
          <w:rFonts w:hint="eastAsia" w:hAnsi="宋体"/>
        </w:rPr>
        <w:t>2023年10月18日召开的第四届董事会第二十六次会议、第四届监事会第二十次会议审议通过，审议通过了《关于回购公司股份方案的议案》</w:t>
      </w:r>
      <w:r>
        <w:rPr>
          <w:rFonts w:hAnsi="宋体"/>
        </w:rPr>
        <w:t>，公司计划使用自有资金通过深圳证券交易所股票交易系统以集中竞价交易方式回购公司部分社会公众股份，用于实施员工持股计划或股权激励。本次回购的资金总额不低于</w:t>
      </w:r>
      <w:r>
        <w:rPr>
          <w:rFonts w:hint="eastAsia" w:hAnsi="宋体"/>
        </w:rPr>
        <w:t>3</w:t>
      </w:r>
      <w:r>
        <w:rPr>
          <w:rFonts w:hAnsi="宋体"/>
        </w:rPr>
        <w:t>,</w:t>
      </w:r>
      <w:r>
        <w:rPr>
          <w:rFonts w:hint="eastAsia" w:hAnsi="宋体"/>
        </w:rPr>
        <w:t>0</w:t>
      </w:r>
      <w:r>
        <w:rPr>
          <w:rFonts w:hAnsi="宋体"/>
        </w:rPr>
        <w:t>00万元且不超过</w:t>
      </w:r>
      <w:r>
        <w:rPr>
          <w:rFonts w:hint="eastAsia" w:hAnsi="宋体"/>
        </w:rPr>
        <w:t>6</w:t>
      </w:r>
      <w:r>
        <w:rPr>
          <w:rFonts w:hAnsi="宋体"/>
        </w:rPr>
        <w:t>,000万元（均含本数）；回购价格不超过人民币</w:t>
      </w:r>
      <w:r>
        <w:rPr>
          <w:rFonts w:hint="eastAsia" w:hAnsi="宋体"/>
        </w:rPr>
        <w:t>15.50</w:t>
      </w:r>
      <w:r>
        <w:rPr>
          <w:rFonts w:hAnsi="宋体"/>
        </w:rPr>
        <w:t>元/股（含本数），实施期限为自公司董事会审议通过本次回购股份方案之日起不超过12个月。具体内容详见公司于2023年</w:t>
      </w:r>
      <w:r>
        <w:rPr>
          <w:rFonts w:hint="eastAsia" w:hAnsi="宋体"/>
        </w:rPr>
        <w:t>10</w:t>
      </w:r>
      <w:r>
        <w:rPr>
          <w:rFonts w:hAnsi="宋体"/>
        </w:rPr>
        <w:t>月</w:t>
      </w:r>
      <w:r>
        <w:rPr>
          <w:rFonts w:hint="eastAsia" w:hAnsi="宋体"/>
        </w:rPr>
        <w:t>19</w:t>
      </w:r>
      <w:r>
        <w:rPr>
          <w:rFonts w:hAnsi="宋体"/>
        </w:rPr>
        <w:t>日披露于巨潮资讯网（www.cninfo.com.cn）的相关公告。</w:t>
      </w:r>
    </w:p>
    <w:p>
      <w:pPr>
        <w:spacing w:line="360" w:lineRule="auto"/>
        <w:ind w:firstLine="420" w:firstLineChars="175"/>
        <w:rPr>
          <w:rFonts w:ascii="宋体" w:hAnsi="宋体" w:cs="宋体"/>
          <w:sz w:val="24"/>
        </w:rPr>
      </w:pPr>
      <w:r>
        <w:rPr>
          <w:rFonts w:ascii="宋体" w:hAnsi="宋体" w:cs="宋体"/>
          <w:sz w:val="24"/>
        </w:rPr>
        <w:t>现将公司回购股份的情况公告如下：</w:t>
      </w:r>
    </w:p>
    <w:p>
      <w:pPr>
        <w:spacing w:line="360" w:lineRule="auto"/>
        <w:ind w:firstLine="422" w:firstLineChars="175"/>
        <w:rPr>
          <w:rFonts w:ascii="宋体" w:hAnsi="宋体" w:cs="宋体"/>
          <w:b/>
          <w:bCs/>
          <w:sz w:val="24"/>
        </w:rPr>
      </w:pPr>
      <w:r>
        <w:rPr>
          <w:rFonts w:hint="eastAsia" w:ascii="宋体" w:hAnsi="宋体" w:cs="宋体"/>
          <w:b/>
          <w:bCs/>
          <w:sz w:val="24"/>
        </w:rPr>
        <w:t>一、</w:t>
      </w:r>
      <w:r>
        <w:rPr>
          <w:rFonts w:ascii="宋体" w:hAnsi="宋体" w:cs="宋体"/>
          <w:b/>
          <w:bCs/>
          <w:sz w:val="24"/>
        </w:rPr>
        <w:t>回购公司股份的具体情况</w:t>
      </w:r>
    </w:p>
    <w:p>
      <w:pPr>
        <w:spacing w:line="360" w:lineRule="auto"/>
        <w:ind w:firstLine="420" w:firstLineChars="175"/>
        <w:rPr>
          <w:rFonts w:hint="default" w:ascii="宋体" w:hAnsi="宋体" w:cs="宋体"/>
          <w:sz w:val="24"/>
        </w:rPr>
      </w:pPr>
      <w:r>
        <w:rPr>
          <w:rFonts w:ascii="宋体" w:hAnsi="宋体" w:cs="宋体"/>
          <w:sz w:val="24"/>
        </w:rPr>
        <w:t>公司根据《上市公司股份回购规则》《深圳证券交易所上市公司自律监管指引第</w:t>
      </w:r>
      <w:r>
        <w:rPr>
          <w:rFonts w:hint="default" w:ascii="宋体" w:hAnsi="宋体" w:cs="宋体"/>
          <w:sz w:val="24"/>
        </w:rPr>
        <w:t>9号——回购股份》</w:t>
      </w:r>
      <w:r>
        <w:rPr>
          <w:rFonts w:ascii="宋体" w:hAnsi="宋体" w:cs="宋体"/>
          <w:sz w:val="24"/>
        </w:rPr>
        <w:t>等有关规定，上市公司回购</w:t>
      </w:r>
      <w:r>
        <w:rPr>
          <w:rFonts w:hint="default" w:ascii="宋体" w:hAnsi="宋体" w:cs="宋体"/>
          <w:sz w:val="24"/>
        </w:rPr>
        <w:t>股份占上市公司总股本的比例每增加百分之一的，应当自该事实发生之日起三个交易日内予以公告。现将回购股份进展情况公告如下：</w:t>
      </w:r>
    </w:p>
    <w:p>
      <w:pPr>
        <w:spacing w:line="360" w:lineRule="auto"/>
        <w:ind w:firstLine="420" w:firstLineChars="175"/>
        <w:rPr>
          <w:rFonts w:ascii="宋体" w:hAnsi="宋体" w:cs="宋体"/>
          <w:sz w:val="24"/>
        </w:rPr>
      </w:pPr>
      <w:r>
        <w:rPr>
          <w:rFonts w:ascii="宋体" w:hAnsi="宋体" w:cs="宋体"/>
          <w:sz w:val="24"/>
        </w:rPr>
        <w:t>截至目前，在本次回购方案中，公司通过股份回购专用证券账户以集中竞价方式回购公司股份</w:t>
      </w:r>
      <w:r>
        <w:rPr>
          <w:rFonts w:hint="default" w:ascii="宋体" w:hAnsi="宋体" w:cs="宋体"/>
          <w:sz w:val="24"/>
          <w:lang w:val="en-US"/>
        </w:rPr>
        <w:t>4,5</w:t>
      </w:r>
      <w:r>
        <w:rPr>
          <w:rFonts w:hint="eastAsia" w:ascii="宋体" w:hAnsi="宋体" w:cs="宋体"/>
          <w:sz w:val="24"/>
        </w:rPr>
        <w:t>00</w:t>
      </w:r>
      <w:r>
        <w:rPr>
          <w:rFonts w:hint="default" w:ascii="宋体" w:hAnsi="宋体" w:cs="宋体"/>
          <w:sz w:val="24"/>
          <w:lang w:val="en-US"/>
        </w:rPr>
        <w:t>,07</w:t>
      </w:r>
      <w:r>
        <w:rPr>
          <w:rFonts w:hint="eastAsia" w:ascii="宋体" w:hAnsi="宋体" w:cs="宋体"/>
          <w:sz w:val="24"/>
        </w:rPr>
        <w:t>0</w:t>
      </w:r>
      <w:r>
        <w:rPr>
          <w:rFonts w:ascii="宋体" w:hAnsi="宋体" w:cs="宋体"/>
          <w:sz w:val="24"/>
        </w:rPr>
        <w:t>股，占公司目前总股本的</w:t>
      </w:r>
      <w:r>
        <w:rPr>
          <w:rFonts w:hint="default" w:ascii="宋体" w:hAnsi="宋体" w:cs="宋体"/>
          <w:sz w:val="24"/>
          <w:lang w:val="en-US"/>
        </w:rPr>
        <w:t>2.0514</w:t>
      </w:r>
      <w:r>
        <w:rPr>
          <w:rFonts w:ascii="宋体" w:hAnsi="宋体" w:cs="宋体"/>
          <w:sz w:val="24"/>
        </w:rPr>
        <w:t>%，最高成交价为11.</w:t>
      </w:r>
      <w:r>
        <w:rPr>
          <w:rFonts w:hint="default" w:ascii="宋体" w:hAnsi="宋体" w:cs="宋体"/>
          <w:sz w:val="24"/>
          <w:lang w:val="en-US"/>
        </w:rPr>
        <w:t>20</w:t>
      </w:r>
      <w:r>
        <w:rPr>
          <w:rFonts w:ascii="宋体" w:hAnsi="宋体" w:cs="宋体"/>
          <w:sz w:val="24"/>
        </w:rPr>
        <w:t>元/股，最低成交价为</w:t>
      </w:r>
      <w:r>
        <w:rPr>
          <w:rFonts w:hint="default" w:ascii="宋体" w:hAnsi="宋体" w:cs="宋体"/>
          <w:sz w:val="24"/>
          <w:lang w:val="en-US"/>
        </w:rPr>
        <w:t>9</w:t>
      </w:r>
      <w:r>
        <w:rPr>
          <w:rFonts w:ascii="宋体" w:hAnsi="宋体" w:cs="宋体"/>
          <w:sz w:val="24"/>
        </w:rPr>
        <w:t>.</w:t>
      </w:r>
      <w:r>
        <w:rPr>
          <w:rFonts w:hint="default" w:ascii="宋体" w:hAnsi="宋体" w:cs="宋体"/>
          <w:sz w:val="24"/>
          <w:lang w:val="en-US"/>
        </w:rPr>
        <w:t>18</w:t>
      </w:r>
      <w:r>
        <w:rPr>
          <w:rFonts w:ascii="宋体" w:hAnsi="宋体" w:cs="宋体"/>
          <w:sz w:val="24"/>
        </w:rPr>
        <w:t>元/股，成交总金额为</w:t>
      </w:r>
      <w:r>
        <w:rPr>
          <w:rFonts w:hint="default" w:ascii="宋体" w:hAnsi="宋体" w:cs="宋体"/>
          <w:sz w:val="24"/>
          <w:lang w:val="en-US"/>
        </w:rPr>
        <w:t>46,978,591</w:t>
      </w:r>
      <w:r>
        <w:rPr>
          <w:rFonts w:hint="eastAsia" w:ascii="宋体" w:hAnsi="宋体" w:cs="宋体"/>
          <w:sz w:val="24"/>
        </w:rPr>
        <w:t>.</w:t>
      </w:r>
      <w:r>
        <w:rPr>
          <w:rFonts w:hint="default" w:ascii="宋体" w:hAnsi="宋体" w:cs="宋体"/>
          <w:sz w:val="24"/>
          <w:lang w:val="en-US"/>
        </w:rPr>
        <w:t>4</w:t>
      </w:r>
      <w:r>
        <w:rPr>
          <w:rFonts w:ascii="宋体" w:hAnsi="宋体" w:cs="宋体"/>
          <w:sz w:val="24"/>
        </w:rPr>
        <w:t>元（不含交易费用）。本次回购符合公司回购方案及相关法律法规的要求。</w:t>
      </w:r>
    </w:p>
    <w:p>
      <w:pPr>
        <w:spacing w:line="360" w:lineRule="auto"/>
        <w:ind w:firstLine="422" w:firstLineChars="175"/>
        <w:rPr>
          <w:rFonts w:ascii="宋体" w:hAnsi="宋体" w:cs="宋体"/>
          <w:b/>
          <w:bCs/>
          <w:sz w:val="24"/>
        </w:rPr>
      </w:pPr>
      <w:r>
        <w:rPr>
          <w:rFonts w:hint="eastAsia" w:ascii="宋体" w:hAnsi="宋体" w:cs="宋体"/>
          <w:b/>
          <w:bCs/>
          <w:sz w:val="24"/>
        </w:rPr>
        <w:t>二、</w:t>
      </w:r>
      <w:r>
        <w:rPr>
          <w:rFonts w:ascii="宋体" w:hAnsi="宋体" w:cs="宋体"/>
          <w:b/>
          <w:bCs/>
          <w:sz w:val="24"/>
        </w:rPr>
        <w:t>其他说明</w:t>
      </w:r>
    </w:p>
    <w:p>
      <w:pPr>
        <w:spacing w:line="360" w:lineRule="auto"/>
        <w:ind w:firstLine="420" w:firstLineChars="175"/>
        <w:rPr>
          <w:rFonts w:hint="default" w:ascii="宋体" w:hAnsi="宋体" w:cs="宋体"/>
          <w:sz w:val="24"/>
          <w:lang w:val="en-US" w:eastAsia="zh-CN"/>
        </w:rPr>
      </w:pPr>
      <w:r>
        <w:rPr>
          <w:rFonts w:ascii="宋体" w:hAnsi="宋体" w:cs="宋体"/>
          <w:sz w:val="24"/>
          <w:lang w:val="en-US" w:eastAsia="zh-CN"/>
        </w:rPr>
        <w:t>公司回购股份实施过程符合</w:t>
      </w:r>
      <w:r>
        <w:rPr>
          <w:rFonts w:hint="default" w:ascii="宋体" w:hAnsi="宋体" w:cs="宋体"/>
          <w:sz w:val="24"/>
          <w:lang w:val="en-US" w:eastAsia="zh-CN"/>
        </w:rPr>
        <w:t>《上市公司股份回购规则》等相关法律法规中关于敏感期、回购数量和节奏、交易委托时段等规则要求，同时符合公司本次《回购股份报告书》中关于回购方式、价格区间、资金来源等既定方案。对照相关规定，具体说明如下：</w:t>
      </w:r>
    </w:p>
    <w:p>
      <w:pPr>
        <w:spacing w:line="360" w:lineRule="auto"/>
        <w:ind w:firstLine="420" w:firstLineChars="175"/>
        <w:rPr>
          <w:rFonts w:ascii="宋体" w:hAnsi="宋体" w:cs="宋体"/>
          <w:sz w:val="24"/>
        </w:rPr>
      </w:pPr>
      <w:r>
        <w:rPr>
          <w:rFonts w:ascii="宋体" w:hAnsi="宋体" w:cs="宋体"/>
          <w:sz w:val="24"/>
          <w:lang w:val="en-US" w:eastAsia="zh-CN"/>
        </w:rPr>
        <w:t>1</w:t>
      </w:r>
      <w:r>
        <w:rPr>
          <w:rFonts w:hint="default" w:ascii="宋体" w:hAnsi="宋体" w:cs="宋体"/>
          <w:sz w:val="24"/>
          <w:lang w:val="en-US" w:eastAsia="zh-CN"/>
        </w:rPr>
        <w:t>、公司未在下列期间内回购股票</w:t>
      </w:r>
    </w:p>
    <w:p>
      <w:pPr>
        <w:spacing w:line="360" w:lineRule="auto"/>
        <w:ind w:firstLine="420" w:firstLineChars="175"/>
        <w:rPr>
          <w:rFonts w:hint="default" w:ascii="宋体" w:hAnsi="宋体" w:cs="宋体"/>
          <w:sz w:val="24"/>
        </w:rPr>
      </w:pPr>
      <w:r>
        <w:rPr>
          <w:rFonts w:hint="default" w:ascii="宋体" w:hAnsi="宋体" w:cs="宋体"/>
          <w:sz w:val="24"/>
          <w:lang w:val="en-US" w:eastAsia="zh-CN"/>
        </w:rPr>
        <w:t>（1）</w:t>
      </w:r>
      <w:r>
        <w:rPr>
          <w:rFonts w:hint="default" w:ascii="宋体" w:hAnsi="宋体" w:cs="宋体"/>
          <w:sz w:val="24"/>
        </w:rPr>
        <w:t>自可能对本公司证券及其衍生品种交易价格产生重大影响的重大事项发生之日或者在决策过程中至依法披露之日内；</w:t>
      </w:r>
    </w:p>
    <w:p>
      <w:pPr>
        <w:spacing w:line="360" w:lineRule="auto"/>
        <w:ind w:firstLine="420" w:firstLineChars="175"/>
        <w:rPr>
          <w:rFonts w:hint="default" w:ascii="宋体" w:hAnsi="宋体" w:cs="宋体"/>
          <w:sz w:val="24"/>
        </w:rPr>
      </w:pPr>
      <w:r>
        <w:rPr>
          <w:rFonts w:hint="default" w:ascii="宋体" w:hAnsi="宋体" w:cs="宋体"/>
          <w:sz w:val="24"/>
          <w:lang w:val="en-US" w:eastAsia="zh-CN"/>
        </w:rPr>
        <w:t>（2）</w:t>
      </w:r>
      <w:r>
        <w:rPr>
          <w:rFonts w:hint="default" w:ascii="宋体" w:hAnsi="宋体" w:cs="宋体"/>
          <w:sz w:val="24"/>
        </w:rPr>
        <w:t>中国证监会规定的其他情形。</w:t>
      </w:r>
    </w:p>
    <w:p>
      <w:pPr>
        <w:spacing w:line="360" w:lineRule="auto"/>
        <w:ind w:firstLine="420" w:firstLineChars="175"/>
        <w:rPr>
          <w:rFonts w:hint="default" w:ascii="宋体" w:hAnsi="宋体" w:cs="宋体"/>
          <w:sz w:val="24"/>
          <w:lang w:val="en-US" w:eastAsia="zh-CN"/>
        </w:rPr>
      </w:pPr>
      <w:r>
        <w:rPr>
          <w:rFonts w:hint="default" w:ascii="宋体" w:hAnsi="宋体" w:cs="宋体"/>
          <w:sz w:val="24"/>
          <w:lang w:val="en-US" w:eastAsia="zh-CN"/>
        </w:rPr>
        <w:t>2</w:t>
      </w:r>
      <w:r>
        <w:rPr>
          <w:rFonts w:hint="eastAsia" w:ascii="宋体" w:hAnsi="宋体" w:cs="宋体"/>
          <w:sz w:val="24"/>
          <w:lang w:val="en-US" w:eastAsia="zh-CN"/>
        </w:rPr>
        <w:t>、</w:t>
      </w:r>
      <w:r>
        <w:rPr>
          <w:rFonts w:hint="default" w:ascii="宋体" w:hAnsi="宋体" w:cs="宋体"/>
          <w:sz w:val="24"/>
          <w:lang w:val="en-US" w:eastAsia="zh-CN"/>
        </w:rPr>
        <w:t>公司以集中竞价交易方式回购股份时，符合下列要求：</w:t>
      </w:r>
    </w:p>
    <w:p>
      <w:pPr>
        <w:spacing w:line="360" w:lineRule="auto"/>
        <w:ind w:firstLine="420" w:firstLineChars="175"/>
        <w:rPr>
          <w:rFonts w:hint="default" w:ascii="宋体" w:hAnsi="宋体" w:cs="宋体"/>
          <w:sz w:val="24"/>
          <w:lang w:val="en-US" w:eastAsia="zh-CN"/>
        </w:rPr>
      </w:pPr>
      <w:r>
        <w:rPr>
          <w:rFonts w:hint="default" w:ascii="宋体" w:hAnsi="宋体" w:cs="宋体"/>
          <w:sz w:val="24"/>
          <w:lang w:val="en-US" w:eastAsia="zh-CN"/>
        </w:rPr>
        <w:t>（1）委托价格不得为公司股票当日交易涨幅限制的价格；</w:t>
      </w:r>
    </w:p>
    <w:p>
      <w:pPr>
        <w:spacing w:line="360" w:lineRule="auto"/>
        <w:ind w:firstLine="420" w:firstLineChars="175"/>
        <w:rPr>
          <w:rFonts w:hint="default" w:ascii="宋体" w:hAnsi="宋体" w:cs="宋体"/>
          <w:sz w:val="24"/>
          <w:lang w:val="en-US" w:eastAsia="zh-CN"/>
        </w:rPr>
      </w:pPr>
      <w:r>
        <w:rPr>
          <w:rFonts w:hint="default" w:ascii="宋体" w:hAnsi="宋体" w:cs="宋体"/>
          <w:sz w:val="24"/>
          <w:lang w:val="en-US" w:eastAsia="zh-CN"/>
        </w:rPr>
        <w:t>（2）不得在本所开盘集合竞价、收盘集合竞价及股票价格无涨跌幅限制的交易日内进行股份回购的委托；</w:t>
      </w:r>
    </w:p>
    <w:p>
      <w:pPr>
        <w:spacing w:line="360" w:lineRule="auto"/>
        <w:ind w:firstLine="420" w:firstLineChars="175"/>
        <w:rPr>
          <w:rFonts w:hint="default" w:ascii="宋体" w:hAnsi="宋体" w:cs="宋体"/>
          <w:sz w:val="24"/>
          <w:lang w:val="en-US" w:eastAsia="zh-CN"/>
        </w:rPr>
      </w:pPr>
      <w:r>
        <w:rPr>
          <w:rFonts w:hint="default" w:ascii="宋体" w:hAnsi="宋体" w:cs="宋体"/>
          <w:sz w:val="24"/>
          <w:lang w:val="en-US" w:eastAsia="zh-CN"/>
        </w:rPr>
        <w:t>（3）中国证监会和深圳证券交易所规定的其他要求。</w:t>
      </w:r>
    </w:p>
    <w:p>
      <w:pPr>
        <w:spacing w:line="360" w:lineRule="auto"/>
        <w:ind w:firstLine="420" w:firstLineChars="175"/>
        <w:rPr>
          <w:rFonts w:hint="default" w:ascii="宋体" w:hAnsi="宋体" w:cs="宋体"/>
          <w:sz w:val="24"/>
          <w:lang w:val="en-US" w:eastAsia="zh-CN"/>
        </w:rPr>
      </w:pPr>
      <w:r>
        <w:rPr>
          <w:rFonts w:hint="default" w:ascii="宋体" w:hAnsi="宋体" w:cs="宋体"/>
          <w:sz w:val="24"/>
          <w:lang w:val="en-US" w:eastAsia="zh-CN"/>
        </w:rPr>
        <w:t>公司后续将根据市场情况在回购期限内实施本次回购方案，并根据有关规定及时履行信息披露义务，敬请广大投资者注意投资风险。</w:t>
      </w:r>
    </w:p>
    <w:p>
      <w:pPr>
        <w:numPr>
          <w:ilvl w:val="0"/>
          <w:numId w:val="0"/>
        </w:numPr>
        <w:spacing w:line="360" w:lineRule="auto"/>
        <w:ind w:firstLine="420" w:firstLineChars="0"/>
        <w:rPr>
          <w:rFonts w:ascii="宋体" w:hAnsi="宋体" w:cs="宋体"/>
          <w:sz w:val="24"/>
        </w:rPr>
      </w:pPr>
      <w:r>
        <w:rPr>
          <w:rFonts w:hint="eastAsia" w:ascii="宋体" w:hAnsi="宋体" w:cs="宋体"/>
          <w:sz w:val="24"/>
        </w:rPr>
        <w:t>特此公告！</w:t>
      </w:r>
    </w:p>
    <w:p>
      <w:pPr>
        <w:wordWrap w:val="0"/>
        <w:spacing w:after="156" w:afterLines="50" w:line="480" w:lineRule="exact"/>
        <w:ind w:firstLine="4080" w:firstLineChars="1700"/>
        <w:rPr>
          <w:rFonts w:ascii="宋体" w:hAnsi="宋体" w:cs="宋体"/>
          <w:bCs/>
          <w:sz w:val="24"/>
        </w:rPr>
      </w:pPr>
      <w:r>
        <w:rPr>
          <w:rFonts w:hint="eastAsia" w:ascii="宋体" w:hAnsi="宋体" w:cs="宋体"/>
          <w:bCs/>
          <w:sz w:val="24"/>
        </w:rPr>
        <w:t>青岛伟隆阀门股份有限公司董事会</w:t>
      </w:r>
    </w:p>
    <w:p>
      <w:pPr>
        <w:wordWrap w:val="0"/>
        <w:spacing w:after="156" w:afterLines="50" w:line="480" w:lineRule="exact"/>
        <w:ind w:firstLine="4656" w:firstLineChars="1940"/>
        <w:rPr>
          <w:rFonts w:ascii="宋体" w:hAnsi="宋体" w:cs="宋体"/>
          <w:bCs/>
          <w:sz w:val="24"/>
        </w:rPr>
      </w:pPr>
      <w:r>
        <w:rPr>
          <w:rFonts w:hint="eastAsia" w:ascii="宋体" w:hAnsi="宋体" w:cs="宋体"/>
          <w:bCs/>
          <w:sz w:val="24"/>
        </w:rPr>
        <w:t>202</w:t>
      </w:r>
      <w:r>
        <w:rPr>
          <w:rFonts w:hint="default" w:ascii="宋体" w:hAnsi="宋体" w:cs="宋体"/>
          <w:bCs/>
          <w:sz w:val="24"/>
          <w:lang w:val="en-US"/>
        </w:rPr>
        <w:t>4</w:t>
      </w:r>
      <w:r>
        <w:rPr>
          <w:rFonts w:hint="eastAsia" w:ascii="宋体" w:hAnsi="宋体" w:cs="宋体"/>
          <w:bCs/>
          <w:sz w:val="24"/>
        </w:rPr>
        <w:t>年</w:t>
      </w:r>
      <w:r>
        <w:rPr>
          <w:rFonts w:hint="default" w:ascii="宋体" w:hAnsi="宋体" w:cs="宋体"/>
          <w:bCs/>
          <w:sz w:val="24"/>
          <w:lang w:val="en-US"/>
        </w:rPr>
        <w:t>02</w:t>
      </w:r>
      <w:r>
        <w:rPr>
          <w:rFonts w:hint="eastAsia" w:ascii="宋体" w:hAnsi="宋体" w:cs="宋体"/>
          <w:bCs/>
          <w:sz w:val="24"/>
        </w:rPr>
        <w:t>月</w:t>
      </w:r>
      <w:r>
        <w:rPr>
          <w:rFonts w:hint="default" w:ascii="宋体" w:hAnsi="宋体" w:cs="宋体"/>
          <w:bCs/>
          <w:sz w:val="24"/>
          <w:lang w:val="en-US"/>
        </w:rPr>
        <w:t>0</w:t>
      </w:r>
      <w:r>
        <w:rPr>
          <w:rFonts w:hint="eastAsia" w:ascii="宋体" w:hAnsi="宋体" w:cs="宋体"/>
          <w:bCs/>
          <w:sz w:val="24"/>
          <w:lang w:val="en-US" w:eastAsia="zh-CN"/>
        </w:rPr>
        <w:t>3</w:t>
      </w:r>
      <w:r>
        <w:rPr>
          <w:rFonts w:hint="eastAsia" w:ascii="宋体" w:hAnsi="宋体" w:cs="宋体"/>
          <w:bCs/>
          <w:sz w:val="24"/>
        </w:rPr>
        <w:t xml:space="preserve">日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iYWIwNzkzYTg0MzhhYmIxYTgwNmNhNDYxODQzNjMifQ=="/>
  </w:docVars>
  <w:rsids>
    <w:rsidRoot w:val="00172A27"/>
    <w:rsid w:val="00006D71"/>
    <w:rsid w:val="00036A0F"/>
    <w:rsid w:val="000A737D"/>
    <w:rsid w:val="000B24C6"/>
    <w:rsid w:val="000B5E59"/>
    <w:rsid w:val="00122F3B"/>
    <w:rsid w:val="00124251"/>
    <w:rsid w:val="00127B66"/>
    <w:rsid w:val="00160622"/>
    <w:rsid w:val="00172A27"/>
    <w:rsid w:val="001975FB"/>
    <w:rsid w:val="001A2A85"/>
    <w:rsid w:val="001B7C22"/>
    <w:rsid w:val="001D3683"/>
    <w:rsid w:val="001E060F"/>
    <w:rsid w:val="00241227"/>
    <w:rsid w:val="00254836"/>
    <w:rsid w:val="00256152"/>
    <w:rsid w:val="00257002"/>
    <w:rsid w:val="002B2AB3"/>
    <w:rsid w:val="002C5929"/>
    <w:rsid w:val="00303FF2"/>
    <w:rsid w:val="00346644"/>
    <w:rsid w:val="00372B23"/>
    <w:rsid w:val="00376A82"/>
    <w:rsid w:val="003977B1"/>
    <w:rsid w:val="003B76F4"/>
    <w:rsid w:val="003B7EF7"/>
    <w:rsid w:val="003E1B9A"/>
    <w:rsid w:val="00411722"/>
    <w:rsid w:val="004464FF"/>
    <w:rsid w:val="00456430"/>
    <w:rsid w:val="00465431"/>
    <w:rsid w:val="00473882"/>
    <w:rsid w:val="00485BB5"/>
    <w:rsid w:val="004873A2"/>
    <w:rsid w:val="004876A3"/>
    <w:rsid w:val="004F449F"/>
    <w:rsid w:val="00521456"/>
    <w:rsid w:val="0054511E"/>
    <w:rsid w:val="00552AAA"/>
    <w:rsid w:val="00563151"/>
    <w:rsid w:val="00572A21"/>
    <w:rsid w:val="00577377"/>
    <w:rsid w:val="005B440A"/>
    <w:rsid w:val="005B79D9"/>
    <w:rsid w:val="005E4235"/>
    <w:rsid w:val="00635E78"/>
    <w:rsid w:val="00664EE6"/>
    <w:rsid w:val="00665BF4"/>
    <w:rsid w:val="00670AD8"/>
    <w:rsid w:val="00674C1A"/>
    <w:rsid w:val="00685BBE"/>
    <w:rsid w:val="006A2F42"/>
    <w:rsid w:val="006A6B6A"/>
    <w:rsid w:val="006E5828"/>
    <w:rsid w:val="006E60F4"/>
    <w:rsid w:val="006F08C0"/>
    <w:rsid w:val="006F1798"/>
    <w:rsid w:val="006F7173"/>
    <w:rsid w:val="0070724C"/>
    <w:rsid w:val="0071091C"/>
    <w:rsid w:val="0076182F"/>
    <w:rsid w:val="00762569"/>
    <w:rsid w:val="00774097"/>
    <w:rsid w:val="0079376C"/>
    <w:rsid w:val="007960CE"/>
    <w:rsid w:val="007A1ED0"/>
    <w:rsid w:val="007B2E5E"/>
    <w:rsid w:val="007E2139"/>
    <w:rsid w:val="007E2DF0"/>
    <w:rsid w:val="007E7709"/>
    <w:rsid w:val="00804C49"/>
    <w:rsid w:val="00831E5A"/>
    <w:rsid w:val="008374C2"/>
    <w:rsid w:val="008672B1"/>
    <w:rsid w:val="008A4239"/>
    <w:rsid w:val="008B450B"/>
    <w:rsid w:val="008E0226"/>
    <w:rsid w:val="008E1379"/>
    <w:rsid w:val="008E2F6F"/>
    <w:rsid w:val="008E7A95"/>
    <w:rsid w:val="008F7262"/>
    <w:rsid w:val="00914250"/>
    <w:rsid w:val="00935587"/>
    <w:rsid w:val="009437D9"/>
    <w:rsid w:val="00954907"/>
    <w:rsid w:val="009549B6"/>
    <w:rsid w:val="00962112"/>
    <w:rsid w:val="009A6EBB"/>
    <w:rsid w:val="009C125A"/>
    <w:rsid w:val="00A03D17"/>
    <w:rsid w:val="00A21AEC"/>
    <w:rsid w:val="00A2795D"/>
    <w:rsid w:val="00A3027F"/>
    <w:rsid w:val="00A62B72"/>
    <w:rsid w:val="00A6584D"/>
    <w:rsid w:val="00A747D4"/>
    <w:rsid w:val="00A82C4E"/>
    <w:rsid w:val="00A84206"/>
    <w:rsid w:val="00A84FD4"/>
    <w:rsid w:val="00A85FDF"/>
    <w:rsid w:val="00AA18D7"/>
    <w:rsid w:val="00B04356"/>
    <w:rsid w:val="00B40396"/>
    <w:rsid w:val="00B74890"/>
    <w:rsid w:val="00B76DF8"/>
    <w:rsid w:val="00B97F4A"/>
    <w:rsid w:val="00BD7411"/>
    <w:rsid w:val="00BF251E"/>
    <w:rsid w:val="00C11A06"/>
    <w:rsid w:val="00C2322C"/>
    <w:rsid w:val="00C27186"/>
    <w:rsid w:val="00C27F10"/>
    <w:rsid w:val="00C44DA2"/>
    <w:rsid w:val="00C641F6"/>
    <w:rsid w:val="00C96B13"/>
    <w:rsid w:val="00CB3B57"/>
    <w:rsid w:val="00CB4AEE"/>
    <w:rsid w:val="00CB664C"/>
    <w:rsid w:val="00CD684E"/>
    <w:rsid w:val="00D013BD"/>
    <w:rsid w:val="00D21914"/>
    <w:rsid w:val="00D272D0"/>
    <w:rsid w:val="00D65A14"/>
    <w:rsid w:val="00D755B9"/>
    <w:rsid w:val="00D828AF"/>
    <w:rsid w:val="00D96A71"/>
    <w:rsid w:val="00DC3FDC"/>
    <w:rsid w:val="00DC4115"/>
    <w:rsid w:val="00DC6A69"/>
    <w:rsid w:val="00E04372"/>
    <w:rsid w:val="00E06FB0"/>
    <w:rsid w:val="00E07973"/>
    <w:rsid w:val="00E10280"/>
    <w:rsid w:val="00E34916"/>
    <w:rsid w:val="00E45713"/>
    <w:rsid w:val="00E52349"/>
    <w:rsid w:val="00E55D47"/>
    <w:rsid w:val="00E93E3B"/>
    <w:rsid w:val="00E9586C"/>
    <w:rsid w:val="00E95872"/>
    <w:rsid w:val="00EC0FC0"/>
    <w:rsid w:val="00ED6B3A"/>
    <w:rsid w:val="00EE1B37"/>
    <w:rsid w:val="00F027F0"/>
    <w:rsid w:val="00F55051"/>
    <w:rsid w:val="00F66C85"/>
    <w:rsid w:val="00F76EA3"/>
    <w:rsid w:val="00FA1664"/>
    <w:rsid w:val="00FA43AF"/>
    <w:rsid w:val="00FF5193"/>
    <w:rsid w:val="00FF6442"/>
    <w:rsid w:val="01A53733"/>
    <w:rsid w:val="02316687"/>
    <w:rsid w:val="02C80FAF"/>
    <w:rsid w:val="03561124"/>
    <w:rsid w:val="077C4D9E"/>
    <w:rsid w:val="0893437B"/>
    <w:rsid w:val="0A0A5105"/>
    <w:rsid w:val="0B3D575C"/>
    <w:rsid w:val="0C37152E"/>
    <w:rsid w:val="0C641AB1"/>
    <w:rsid w:val="0EB80C85"/>
    <w:rsid w:val="102A5457"/>
    <w:rsid w:val="11212166"/>
    <w:rsid w:val="12AF50BB"/>
    <w:rsid w:val="12CB46B8"/>
    <w:rsid w:val="14937C63"/>
    <w:rsid w:val="18F22C7D"/>
    <w:rsid w:val="1B697A59"/>
    <w:rsid w:val="1C034048"/>
    <w:rsid w:val="1CA67FD8"/>
    <w:rsid w:val="1DB40C15"/>
    <w:rsid w:val="1EB458DE"/>
    <w:rsid w:val="1ED16490"/>
    <w:rsid w:val="1F874ABE"/>
    <w:rsid w:val="1F8F1A44"/>
    <w:rsid w:val="1FA62962"/>
    <w:rsid w:val="1FC34144"/>
    <w:rsid w:val="20464D04"/>
    <w:rsid w:val="23574633"/>
    <w:rsid w:val="248E3DAD"/>
    <w:rsid w:val="266B11A1"/>
    <w:rsid w:val="26B40C95"/>
    <w:rsid w:val="270B0647"/>
    <w:rsid w:val="29670FA3"/>
    <w:rsid w:val="2ACE7161"/>
    <w:rsid w:val="2CB8189F"/>
    <w:rsid w:val="2E997B77"/>
    <w:rsid w:val="30895F3F"/>
    <w:rsid w:val="32B73808"/>
    <w:rsid w:val="32E3313B"/>
    <w:rsid w:val="35260C73"/>
    <w:rsid w:val="368172E2"/>
    <w:rsid w:val="37116CC3"/>
    <w:rsid w:val="38660A74"/>
    <w:rsid w:val="3C836BC3"/>
    <w:rsid w:val="3D170D39"/>
    <w:rsid w:val="4146140D"/>
    <w:rsid w:val="416A68CA"/>
    <w:rsid w:val="43F3552A"/>
    <w:rsid w:val="46C70AC9"/>
    <w:rsid w:val="47BC5243"/>
    <w:rsid w:val="47D26466"/>
    <w:rsid w:val="48003C27"/>
    <w:rsid w:val="482E71E3"/>
    <w:rsid w:val="4A3F41B7"/>
    <w:rsid w:val="4B4A0964"/>
    <w:rsid w:val="4CC76658"/>
    <w:rsid w:val="4E714B47"/>
    <w:rsid w:val="55E53FF3"/>
    <w:rsid w:val="570E425E"/>
    <w:rsid w:val="58236299"/>
    <w:rsid w:val="58A52693"/>
    <w:rsid w:val="58B266A4"/>
    <w:rsid w:val="58FB2AC1"/>
    <w:rsid w:val="599A6212"/>
    <w:rsid w:val="5A340EF6"/>
    <w:rsid w:val="5A4C4C2B"/>
    <w:rsid w:val="5BAB4D26"/>
    <w:rsid w:val="5E113BD7"/>
    <w:rsid w:val="5E3A0E09"/>
    <w:rsid w:val="5E5E6EB3"/>
    <w:rsid w:val="5E9F5041"/>
    <w:rsid w:val="5F7A517F"/>
    <w:rsid w:val="5FFF6A1A"/>
    <w:rsid w:val="60371BF6"/>
    <w:rsid w:val="603911C4"/>
    <w:rsid w:val="618F680B"/>
    <w:rsid w:val="61E76536"/>
    <w:rsid w:val="63784DC3"/>
    <w:rsid w:val="63EC073C"/>
    <w:rsid w:val="66E7274E"/>
    <w:rsid w:val="679275B3"/>
    <w:rsid w:val="68E9239B"/>
    <w:rsid w:val="692844CB"/>
    <w:rsid w:val="69A949EA"/>
    <w:rsid w:val="6D300490"/>
    <w:rsid w:val="6D38732A"/>
    <w:rsid w:val="6F5A2D18"/>
    <w:rsid w:val="70116B8D"/>
    <w:rsid w:val="70134ABB"/>
    <w:rsid w:val="71723A66"/>
    <w:rsid w:val="73160199"/>
    <w:rsid w:val="751F1964"/>
    <w:rsid w:val="753875CC"/>
    <w:rsid w:val="78770B45"/>
    <w:rsid w:val="7A4F18B0"/>
    <w:rsid w:val="7BEA05C4"/>
    <w:rsid w:val="7DC91FB4"/>
    <w:rsid w:val="7E2B5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3"/>
    <w:autoRedefine/>
    <w:qFormat/>
    <w:uiPriority w:val="0"/>
    <w:pPr>
      <w:jc w:val="left"/>
    </w:pPr>
  </w:style>
  <w:style w:type="paragraph" w:styleId="3">
    <w:name w:val="Body Text"/>
    <w:basedOn w:val="1"/>
    <w:autoRedefine/>
    <w:qFormat/>
    <w:uiPriority w:val="0"/>
    <w:pPr>
      <w:jc w:val="center"/>
    </w:pPr>
    <w:rPr>
      <w:rFonts w:eastAsia="黑体"/>
      <w:sz w:val="32"/>
    </w:rPr>
  </w:style>
  <w:style w:type="paragraph" w:styleId="4">
    <w:name w:val="Date"/>
    <w:basedOn w:val="1"/>
    <w:next w:val="1"/>
    <w:link w:val="14"/>
    <w:autoRedefine/>
    <w:qFormat/>
    <w:uiPriority w:val="0"/>
    <w:pPr>
      <w:ind w:left="100" w:leftChars="2500"/>
    </w:pPr>
  </w:style>
  <w:style w:type="paragraph" w:styleId="5">
    <w:name w:val="Balloon Text"/>
    <w:basedOn w:val="1"/>
    <w:autoRedefine/>
    <w:qFormat/>
    <w:uiPriority w:val="0"/>
    <w:rPr>
      <w:sz w:val="18"/>
      <w:szCs w:val="18"/>
    </w:rPr>
  </w:style>
  <w:style w:type="paragraph" w:styleId="6">
    <w:name w:val="footer"/>
    <w:basedOn w:val="1"/>
    <w:link w:val="15"/>
    <w:autoRedefine/>
    <w:qFormat/>
    <w:uiPriority w:val="0"/>
    <w:pPr>
      <w:tabs>
        <w:tab w:val="center" w:pos="4153"/>
        <w:tab w:val="right" w:pos="8306"/>
      </w:tabs>
      <w:snapToGrid w:val="0"/>
      <w:jc w:val="left"/>
    </w:pPr>
    <w:rPr>
      <w:kern w:val="0"/>
      <w:sz w:val="18"/>
      <w:szCs w:val="18"/>
    </w:rPr>
  </w:style>
  <w:style w:type="paragraph" w:styleId="7">
    <w:name w:val="header"/>
    <w:basedOn w:val="1"/>
    <w:link w:val="16"/>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17"/>
    <w:autoRedefine/>
    <w:qFormat/>
    <w:uiPriority w:val="0"/>
    <w:rPr>
      <w:b/>
      <w:bCs/>
    </w:rPr>
  </w:style>
  <w:style w:type="character" w:styleId="11">
    <w:name w:val="page number"/>
    <w:basedOn w:val="10"/>
    <w:autoRedefine/>
    <w:qFormat/>
    <w:uiPriority w:val="0"/>
  </w:style>
  <w:style w:type="character" w:styleId="12">
    <w:name w:val="annotation reference"/>
    <w:autoRedefine/>
    <w:qFormat/>
    <w:uiPriority w:val="0"/>
    <w:rPr>
      <w:sz w:val="21"/>
      <w:szCs w:val="21"/>
    </w:rPr>
  </w:style>
  <w:style w:type="character" w:customStyle="1" w:styleId="13">
    <w:name w:val="批注文字 字符"/>
    <w:link w:val="2"/>
    <w:autoRedefine/>
    <w:qFormat/>
    <w:uiPriority w:val="0"/>
    <w:rPr>
      <w:rFonts w:ascii="Times New Roman" w:hAnsi="Times New Roman"/>
      <w:kern w:val="2"/>
      <w:sz w:val="21"/>
      <w:szCs w:val="24"/>
    </w:rPr>
  </w:style>
  <w:style w:type="character" w:customStyle="1" w:styleId="14">
    <w:name w:val="日期 字符"/>
    <w:basedOn w:val="10"/>
    <w:link w:val="4"/>
    <w:autoRedefine/>
    <w:qFormat/>
    <w:uiPriority w:val="0"/>
    <w:rPr>
      <w:rFonts w:ascii="Times New Roman" w:hAnsi="Times New Roman"/>
      <w:kern w:val="2"/>
      <w:sz w:val="21"/>
      <w:szCs w:val="24"/>
    </w:rPr>
  </w:style>
  <w:style w:type="character" w:customStyle="1" w:styleId="15">
    <w:name w:val="页脚 字符"/>
    <w:link w:val="6"/>
    <w:autoRedefine/>
    <w:qFormat/>
    <w:uiPriority w:val="0"/>
    <w:rPr>
      <w:rFonts w:ascii="Times New Roman" w:hAnsi="Times New Roman" w:eastAsia="宋体" w:cs="Times New Roman"/>
      <w:sz w:val="18"/>
      <w:szCs w:val="18"/>
    </w:rPr>
  </w:style>
  <w:style w:type="character" w:customStyle="1" w:styleId="16">
    <w:name w:val="页眉 字符"/>
    <w:link w:val="7"/>
    <w:autoRedefine/>
    <w:qFormat/>
    <w:uiPriority w:val="99"/>
    <w:rPr>
      <w:rFonts w:ascii="Times New Roman" w:hAnsi="Times New Roman"/>
      <w:kern w:val="2"/>
      <w:sz w:val="18"/>
      <w:szCs w:val="18"/>
    </w:rPr>
  </w:style>
  <w:style w:type="character" w:customStyle="1" w:styleId="17">
    <w:name w:val="批注主题 字符"/>
    <w:link w:val="8"/>
    <w:autoRedefine/>
    <w:qFormat/>
    <w:uiPriority w:val="0"/>
    <w:rPr>
      <w:rFonts w:ascii="Times New Roman" w:hAnsi="Times New Roman"/>
      <w:b/>
      <w:bCs/>
      <w:kern w:val="2"/>
      <w:sz w:val="21"/>
      <w:szCs w:val="24"/>
    </w:rPr>
  </w:style>
  <w:style w:type="paragraph" w:customStyle="1" w:styleId="18">
    <w:name w:val="默认段落字体 Para Char Char Char Char Char Char Char"/>
    <w:basedOn w:val="1"/>
    <w:autoRedefine/>
    <w:qFormat/>
    <w:uiPriority w:val="0"/>
    <w:pPr>
      <w:tabs>
        <w:tab w:val="left" w:pos="4665"/>
        <w:tab w:val="left" w:pos="8970"/>
      </w:tabs>
      <w:ind w:firstLine="400"/>
    </w:pPr>
    <w:rPr>
      <w:rFonts w:ascii="Tahoma" w:hAnsi="Tahoma"/>
      <w:sz w:val="24"/>
      <w:szCs w:val="20"/>
    </w:rPr>
  </w:style>
  <w:style w:type="paragraph" w:customStyle="1" w:styleId="19">
    <w:name w:val="p0"/>
    <w:basedOn w:val="1"/>
    <w:autoRedefine/>
    <w:qFormat/>
    <w:uiPriority w:val="0"/>
    <w:pPr>
      <w:widowControl/>
      <w:jc w:val="left"/>
    </w:pPr>
    <w:rPr>
      <w:kern w:val="0"/>
      <w:szCs w:val="21"/>
    </w:rPr>
  </w:style>
  <w:style w:type="paragraph" w:customStyle="1" w:styleId="2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p15"/>
    <w:basedOn w:val="1"/>
    <w:autoRedefine/>
    <w:qFormat/>
    <w:uiPriority w:val="0"/>
    <w:pPr>
      <w:widowControl/>
      <w:spacing w:after="120"/>
    </w:pPr>
    <w:rPr>
      <w:rFonts w:ascii="宋体" w:hAnsi="宋体" w:cs="宋体"/>
      <w:kern w:val="0"/>
      <w:szCs w:val="21"/>
    </w:rPr>
  </w:style>
  <w:style w:type="paragraph" w:customStyle="1" w:styleId="22">
    <w:name w:val="Char"/>
    <w:basedOn w:val="1"/>
    <w:autoRedefine/>
    <w:qFormat/>
    <w:uiPriority w:val="0"/>
    <w:pPr>
      <w:tabs>
        <w:tab w:val="left" w:pos="360"/>
      </w:tabs>
    </w:pPr>
    <w:rPr>
      <w:sz w:val="24"/>
    </w:rPr>
  </w:style>
  <w:style w:type="paragraph" w:customStyle="1" w:styleId="23">
    <w:name w:val="Char2 Char Char Char Char Char Char"/>
    <w:basedOn w:val="1"/>
    <w:autoRedefine/>
    <w:qFormat/>
    <w:uiPriority w:val="0"/>
    <w:pPr>
      <w:widowControl/>
      <w:spacing w:after="160" w:line="240" w:lineRule="exact"/>
      <w:jc w:val="left"/>
    </w:pPr>
    <w:rPr>
      <w:kern w:val="0"/>
      <w:sz w:val="20"/>
      <w:szCs w:val="20"/>
    </w:rPr>
  </w:style>
  <w:style w:type="paragraph" w:customStyle="1" w:styleId="24">
    <w:name w:val="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styleId="25">
    <w:name w:val="List Paragraph"/>
    <w:basedOn w:val="1"/>
    <w:autoRedefine/>
    <w:qFormat/>
    <w:uiPriority w:val="99"/>
    <w:pPr>
      <w:ind w:firstLine="420"/>
    </w:pPr>
  </w:style>
  <w:style w:type="character" w:customStyle="1" w:styleId="26">
    <w:name w:val="15"/>
    <w:basedOn w:val="10"/>
    <w:autoRedefine/>
    <w:qFormat/>
    <w:uiPriority w:val="0"/>
    <w:rPr>
      <w:rFonts w:hint="default" w:ascii="Times New Roman" w:hAnsi="Times New Roman" w:cs="Times New Roman"/>
    </w:rPr>
  </w:style>
  <w:style w:type="character" w:customStyle="1" w:styleId="27">
    <w:name w:val="10"/>
    <w:basedOn w:val="10"/>
    <w:autoRedefine/>
    <w:qFormat/>
    <w:uiPriority w:val="0"/>
    <w:rPr>
      <w:rFonts w:hint="default" w:ascii="Times New Roman" w:hAnsi="Times New Roman" w:cs="Times New Roman"/>
    </w:rPr>
  </w:style>
  <w:style w:type="paragraph" w:customStyle="1" w:styleId="28">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183</Words>
  <Characters>1044</Characters>
  <Lines>8</Lines>
  <Paragraphs>2</Paragraphs>
  <TotalTime>0</TotalTime>
  <ScaleCrop>false</ScaleCrop>
  <LinksUpToDate>false</LinksUpToDate>
  <CharactersWithSpaces>1225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2010-01-30T03:11:00Z</dcterms:created>
  <dc:creator>lkp</dc:creator>
  <cp:lastModifiedBy>Mr.翔</cp:lastModifiedBy>
  <cp:lastPrinted>2009-07-31T05:57:00Z</cp:lastPrinted>
  <dcterms:modified xsi:type="dcterms:W3CDTF">2024-02-02T01:36:43Z</dcterms:modified>
  <dc:title>股份有限公司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5E60126F179E44F19D047B8A4545140F_13</vt:lpwstr>
  </property>
</Properties>
</file>